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Textkrper"/>
        <w:spacing w:lineRule="auto" w:line="288"/>
        <w:rPr>
          <w:rFonts w:cs="Arial Narrow" w:ascii="Arial Narrow" w:hAnsi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tbl>
      <w:tblPr>
        <w:jc w:val="left"/>
        <w:tblInd w:w="55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5900"/>
        <w:gridCol w:w="446"/>
        <w:gridCol w:w="9354"/>
      </w:tblGrid>
      <w:tr>
        <w:trPr>
          <w:cantSplit w:val="false"/>
        </w:trPr>
        <w:tc>
          <w:tcPr>
            <w:tcW w:w="5900" w:type="dxa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extkrper"/>
              <w:spacing w:lineRule="auto" w:line="288"/>
              <w:rPr>
                <w:rFonts w:cs="Arial Narrow" w:ascii="Arial Narrow" w:hAnsi="Arial Narrow"/>
                <w:color w:val="333333"/>
                <w:sz w:val="32"/>
                <w:szCs w:val="32"/>
              </w:rPr>
            </w:pPr>
            <w:r>
              <w:rPr>
                <w:rFonts w:cs="Arial Narrow" w:ascii="Arial Narrow" w:hAnsi="Arial Narrow"/>
                <w:color w:val="333333"/>
                <w:sz w:val="32"/>
                <w:szCs w:val="32"/>
              </w:rPr>
              <w:t>Übung zum Angeben von Quellen</w:t>
            </w:r>
          </w:p>
          <w:p>
            <w:pPr>
              <w:pStyle w:val="Normal"/>
              <w:spacing w:lineRule="auto" w:line="288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  <w:p>
            <w:pPr>
              <w:pStyle w:val="Normal"/>
              <w:spacing w:lineRule="auto" w:line="288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Folgende Textausschnitte sollen als Zitate </w:t>
              <w:br/>
              <w:t>mit Quellenangaben aufgeschrieben werden!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spacing w:lineRule="auto" w:line="288"/>
              <w:jc w:val="righ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1.</w:t>
            </w:r>
          </w:p>
        </w:tc>
        <w:tc>
          <w:tcPr>
            <w:tcW w:w="935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Kennzeichnen Sie mit einer </w:t>
            </w: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Korrekturfarbe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 die übernommenen Texte als Zitate.</w:t>
            </w:r>
          </w:p>
        </w:tc>
      </w:tr>
      <w:tr>
        <w:trPr>
          <w:cantSplit w:val="false"/>
        </w:trPr>
        <w:tc>
          <w:tcPr>
            <w:tcW w:w="5900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extkrper"/>
              <w:snapToGrid w:val="false"/>
              <w:spacing w:lineRule="auto" w:line="288" w:before="0" w:after="14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spacing w:lineRule="auto" w:line="288"/>
              <w:jc w:val="righ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2.</w:t>
            </w:r>
          </w:p>
        </w:tc>
        <w:tc>
          <w:tcPr>
            <w:tcW w:w="935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Notieren Sie die Quellenangabe mit den Mindestangaben «Autor: Titel. Ort Jahr».</w:t>
            </w:r>
          </w:p>
          <w:p>
            <w:pPr>
              <w:pStyle w:val="Normal"/>
              <w:spacing w:lineRule="auto" w:line="288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(Um während der weiteren Arbeit ein veröffentlichtes Schriftstück einfach wiederfinden zu können,  empfiehlt es sich die ISBN-Nummer und ggf. die Signaturnummer aus der Bibliothek zu notieren.)</w:t>
            </w:r>
          </w:p>
        </w:tc>
      </w:tr>
      <w:tr>
        <w:trPr>
          <w:cantSplit w:val="false"/>
        </w:trPr>
        <w:tc>
          <w:tcPr>
            <w:tcW w:w="5900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extkrper"/>
              <w:snapToGrid w:val="false"/>
              <w:spacing w:lineRule="auto" w:line="288" w:before="0" w:after="14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spacing w:lineRule="auto" w:line="288"/>
              <w:jc w:val="righ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3.</w:t>
            </w:r>
          </w:p>
        </w:tc>
        <w:tc>
          <w:tcPr>
            <w:tcW w:w="935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Schreiben Sie die Quellenangabe ausführlich auf. Beachten Sie dabei allgemeine Regeln und halten Sie die Reihenfolge wie in den Mindestangaben bei.</w:t>
            </w:r>
          </w:p>
        </w:tc>
      </w:tr>
    </w:tbl>
    <w:p>
      <w:pPr>
        <w:pStyle w:val="Normal"/>
        <w:spacing w:lineRule="auto" w:line="288"/>
        <w:rPr>
          <w:rFonts w:cs="Arial Narrow" w:ascii="Arial Narrow" w:hAnsi="Arial Narrow"/>
          <w:color w:val="333333"/>
          <w:sz w:val="22"/>
          <w:szCs w:val="22"/>
        </w:rPr>
      </w:pPr>
      <w:r>
        <w:rPr>
          <w:rFonts w:cs="Arial Narrow" w:ascii="Arial Narrow" w:hAnsi="Arial Narrow"/>
          <w:color w:val="333333"/>
          <w:sz w:val="22"/>
          <w:szCs w:val="22"/>
        </w:rPr>
      </w:r>
    </w:p>
    <w:p>
      <w:pPr>
        <w:pStyle w:val="Normal"/>
        <w:spacing w:lineRule="auto" w:line="288"/>
        <w:rPr>
          <w:rFonts w:cs="Arial Narrow" w:ascii="Arial Narrow" w:hAnsi="Arial Narrow"/>
          <w:color w:val="333333"/>
          <w:sz w:val="22"/>
          <w:szCs w:val="22"/>
        </w:rPr>
      </w:pPr>
      <w:r>
        <w:rPr>
          <w:rFonts w:cs="Arial Narrow" w:ascii="Arial Narrow" w:hAnsi="Arial Narrow"/>
          <w:color w:val="333333"/>
          <w:sz w:val="22"/>
          <w:szCs w:val="22"/>
        </w:rPr>
      </w:r>
    </w:p>
    <w:p>
      <w:pPr>
        <w:pStyle w:val="Normal"/>
        <w:spacing w:lineRule="auto" w:line="288"/>
        <w:rPr>
          <w:rFonts w:cs="Arial Narrow" w:ascii="Arial Narrow" w:hAnsi="Arial Narrow"/>
          <w:color w:val="333333"/>
          <w:sz w:val="22"/>
          <w:szCs w:val="22"/>
        </w:rPr>
      </w:pPr>
      <w:r>
        <w:rPr>
          <w:rFonts w:cs="Arial Narrow" w:ascii="Arial Narrow" w:hAnsi="Arial Narrow"/>
          <w:color w:val="333333"/>
          <w:sz w:val="22"/>
          <w:szCs w:val="22"/>
        </w:rPr>
      </w:r>
    </w:p>
    <w:p>
      <w:pPr>
        <w:pStyle w:val="Normal"/>
        <w:spacing w:lineRule="auto" w:line="288"/>
        <w:rPr>
          <w:rFonts w:cs="Arial Narrow" w:ascii="Arial Narrow" w:hAnsi="Arial Narrow"/>
          <w:color w:val="333333"/>
          <w:sz w:val="22"/>
          <w:szCs w:val="22"/>
        </w:rPr>
      </w:pPr>
      <w:r>
        <w:rPr>
          <w:rFonts w:cs="Arial Narrow" w:ascii="Arial Narrow" w:hAnsi="Arial Narrow"/>
          <w:color w:val="333333"/>
          <w:sz w:val="22"/>
          <w:szCs w:val="22"/>
        </w:rPr>
      </w:r>
    </w:p>
    <w:tbl>
      <w:tblPr>
        <w:jc w:val="left"/>
        <w:tblInd w:w="55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5721"/>
        <w:gridCol w:w="2616"/>
        <w:gridCol w:w="7385"/>
      </w:tblGrid>
      <w:tr>
        <w:trPr>
          <w:trHeight w:val="459" w:hRule="atLeast"/>
          <w:cantSplit w:val="false"/>
        </w:trPr>
        <w:tc>
          <w:tcPr>
            <w:tcW w:w="572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88"/>
              <w:rPr>
                <w:rFonts w:eastAsia="Akkurat-Light"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kkurat-Light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>Zitat</w:t>
            </w:r>
            <w:r>
              <w:rPr>
                <w:rFonts w:eastAsia="Akkurat-Light"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>beispiel</w:t>
            </w:r>
          </w:p>
        </w:tc>
        <w:tc>
          <w:tcPr>
            <w:tcW w:w="2616" w:type="dxa"/>
            <w:tcBorders>
              <w:top w:val="nil"/>
              <w:left w:val="single" w:sz="2" w:space="0" w:color="00000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napToGrid w:val="false"/>
              <w:spacing w:lineRule="auto" w:line="288"/>
              <w:rPr>
                <w:rFonts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 xml:space="preserve">Mindestangabe und </w:t>
            </w:r>
          </w:p>
        </w:tc>
        <w:tc>
          <w:tcPr>
            <w:tcW w:w="7385" w:type="dxa"/>
            <w:tcBorders>
              <w:top w:val="nil"/>
              <w:left w:val="nil"/>
              <w:bottom w:val="nil"/>
              <w:insideH w:val="nil"/>
              <w:right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88"/>
              <w:rPr>
                <w:rFonts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>ausführliche Quellenangabe</w:t>
            </w:r>
          </w:p>
        </w:tc>
      </w:tr>
      <w:tr>
        <w:trPr>
          <w:cantSplit w:val="false"/>
        </w:trPr>
        <w:tc>
          <w:tcPr>
            <w:tcW w:w="5721" w:type="dxa"/>
            <w:tcBorders>
              <w:top w:val="single" w:sz="2" w:space="0" w:color="000000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88"/>
              <w:rPr>
                <w:rFonts w:eastAsia="Arial Narrow"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Narrow"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008000"/>
                <w:sz w:val="22"/>
                <w:szCs w:val="22"/>
                <w:lang w:val="de-DE" w:eastAsia="zh-CN" w:bidi="hi-IN"/>
              </w:rPr>
              <w:t>„</w:t>
            </w:r>
            <w:r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>Wir untersuchen die Wege, die ein Anderer beim Schaffen seines Werkes ging, um durch die Bekanntschaft mit den Wegen selber in Gang zu kommen.</w:t>
            </w:r>
            <w:r>
              <w:rPr>
                <w:rFonts w:eastAsia="Arial Narrow" w:cs="Arial Narrow" w:ascii="Arial Narrow" w:hAnsi="Arial Narrow"/>
                <w:b w:val="false"/>
                <w:bCs w:val="false"/>
                <w:i w:val="false"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“</w:t>
            </w:r>
          </w:p>
        </w:tc>
        <w:tc>
          <w:tcPr>
            <w:tcW w:w="2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TabellenInhalt"/>
              <w:snapToGrid w:val="false"/>
              <w:spacing w:lineRule="auto" w:line="288"/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  <w:t>Klee: Beiträge zur bildner</w:t>
              <w:softHyphen/>
              <w:t>ischen Formlehre. Basel/Stuttgart 1979, S. 4</w:t>
            </w:r>
          </w:p>
        </w:tc>
        <w:tc>
          <w:tcPr>
            <w:tcW w:w="7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ellenInhalt"/>
              <w:snapToGrid w:val="false"/>
              <w:spacing w:lineRule="auto" w:line="288"/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  <w:t>Paul Klee: Beiträge zur bildnerischen Formlehre. Faksimilierte Ausgabe des Originalmanuskripts von Paul Klees erstem Vortragszyklus am staatlichen Bauhaus 1921/22. Hrsg, von Jürgen Glaesemer, Paul Klee – Stiftung, Kunstmuseum Bern, Schwabe &amp; Co. AG Verlag, Basel/Stuttgart 1979, S. 4</w:t>
            </w:r>
          </w:p>
        </w:tc>
      </w:tr>
      <w:tr>
        <w:trPr>
          <w:cantSplit w:val="false"/>
        </w:trPr>
        <w:tc>
          <w:tcPr>
            <w:tcW w:w="5721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„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 xml:space="preserve">Das Lateinische </w:t>
            </w:r>
            <w:r>
              <w:rPr>
                <w:rFonts w:eastAsia="Akkurat-Light"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‚</w:t>
            </w:r>
            <w:r>
              <w:rPr>
                <w:rFonts w:eastAsia="Akkurat-Light" w:cs="Arial Narrow" w:ascii="Arial Narrow" w:hAnsi="Arial Narrow"/>
                <w:b w:val="false"/>
                <w:i w:val="false"/>
                <w:caps w:val="false"/>
                <w:smallCaps w:val="false"/>
                <w:color w:val="008000"/>
                <w:sz w:val="22"/>
                <w:szCs w:val="22"/>
              </w:rPr>
              <w:t>l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>abor ipse voluptas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‘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 xml:space="preserve">, zu Deutsch in etwa </w:t>
            </w:r>
            <w:r>
              <w:rPr>
                <w:rFonts w:eastAsia="Akkurat-Light"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‚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>Arbeit selbst ist das Vergnügen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‘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 xml:space="preserve"> nannte Ada Lovlace als ihr Motto.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“</w:t>
            </w:r>
          </w:p>
        </w:tc>
        <w:tc>
          <w:tcPr>
            <w:tcW w:w="2616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napToGrid w:val="false"/>
              <w:spacing w:lineRule="auto" w:line="288"/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  <w:t>Krämer: Ada Lovelace. Paderborn 2015, S. 23</w:t>
            </w:r>
          </w:p>
        </w:tc>
        <w:tc>
          <w:tcPr>
            <w:tcW w:w="7385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napToGrid w:val="false"/>
              <w:spacing w:lineRule="auto" w:line="288"/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</w:pPr>
            <w:r>
              <w:rPr>
                <w:rFonts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</w:rPr>
              <w:t>Krämer, Sybille (Hg.): Ada Lovelace. Die Pionierin der Computertechnik und ihre Nachfolgerinnen. Wilhelm Fink Verlag, Paderborn 2015, S. 23</w:t>
            </w:r>
          </w:p>
        </w:tc>
      </w:tr>
      <w:tr>
        <w:trPr>
          <w:cantSplit w:val="false"/>
        </w:trPr>
        <w:tc>
          <w:tcPr>
            <w:tcW w:w="5721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„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>Zeitdilitation und Lichtgeschwindigkeit gelten als Schlüsselbegriffe in der  Relativitätstheorie von Albert Einstein.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“</w:t>
            </w:r>
          </w:p>
        </w:tc>
        <w:tc>
          <w:tcPr>
            <w:tcW w:w="2616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napToGrid w:val="false"/>
              <w:spacing w:lineRule="auto" w:line="288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Einstein: Die Relativitätstheorie. Leipzig und Berlin 1915, S. 703 ff.</w:t>
            </w:r>
          </w:p>
        </w:tc>
        <w:tc>
          <w:tcPr>
            <w:tcW w:w="7385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napToGrid w:val="false"/>
              <w:spacing w:lineRule="auto" w:line="288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Einstein, Albert: Die Relativitätstheorie. In: Emil Warburg (Red.): Physik. Verlag von B. G. Teubner, Leipzig und Berlin 1915, S. 703 ff.</w:t>
            </w:r>
          </w:p>
        </w:tc>
      </w:tr>
      <w:tr>
        <w:trPr>
          <w:trHeight w:val="542" w:hRule="atLeast"/>
          <w:cantSplit w:val="false"/>
        </w:trPr>
        <w:tc>
          <w:tcPr>
            <w:tcW w:w="5721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spacing w:lineRule="auto" w:line="288"/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„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>Farbe ist etwas sehr Subjektives; anders als in der Musik, die das absolute Gehör kennt, gibt es kein absolutes Farbempfinden.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“</w:t>
            </w:r>
          </w:p>
        </w:tc>
        <w:tc>
          <w:tcPr>
            <w:tcW w:w="2616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napToGrid w:val="false"/>
              <w:spacing w:lineRule="auto" w:line="288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Basting: Farbe ist Geschmackssache. Zürich 2000, S. 64</w:t>
            </w:r>
          </w:p>
        </w:tc>
        <w:tc>
          <w:tcPr>
            <w:tcW w:w="7385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napToGrid w:val="false"/>
              <w:spacing w:lineRule="auto" w:line="288" w:before="0" w:after="57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Basting, Barbara: Farbe ist Geschmackssache. Im Fotolabor von Ronny Ochsner […]. In: «du». Die Zeitschrift der Kultur. TA-Media AG Zürich, Doppelheft Nr. 708, Juli/August 2000, S. 64 m.u.</w:t>
            </w:r>
          </w:p>
        </w:tc>
      </w:tr>
      <w:tr>
        <w:trPr>
          <w:trHeight w:val="150" w:hRule="atLeast"/>
          <w:cantSplit w:val="false"/>
        </w:trPr>
        <w:tc>
          <w:tcPr>
            <w:tcW w:w="5721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88"/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„</w:t>
            </w: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 xml:space="preserve">Das Seminarfach soll so zur Kompetenzerweoterung führen und auf die Arbeit in einem fachwissenschaftlichen Studium vorbereiten. </w:t>
            </w: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008000"/>
                <w:sz w:val="22"/>
                <w:szCs w:val="22"/>
              </w:rPr>
              <w:t>[…]</w:t>
            </w: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 xml:space="preserve"> Ziel des Unterrichts ist laut KMK </w:t>
            </w: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008000"/>
                <w:sz w:val="22"/>
                <w:szCs w:val="22"/>
              </w:rPr>
              <w:t>[Kultusministerkonferenz, d. Verf.]</w:t>
            </w:r>
            <w:r>
              <w:rPr>
                <w:rFonts w:eastAsia="Arial Narrow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</w:rPr>
              <w:t xml:space="preserve"> neben dem Erwerb der Allgemeinen Hochschulreife die allgemeine Studierfähigkeit, das beinhaltet auch eine Einführung in wissenschaft</w:t>
              <w:softHyphen/>
              <w:t>liche Denk- und Arbeitsweise /Wissenschaftspropädeutik).</w:t>
            </w:r>
            <w:r>
              <w:rPr>
                <w:rFonts w:cs="Arial Narrow" w:ascii="Arial Narrow" w:hAnsi="Arial Narrow"/>
                <w:b w:val="false"/>
                <w:i w:val="false"/>
                <w:caps w:val="false"/>
                <w:smallCaps w:val="false"/>
                <w:color w:val="00AE00"/>
                <w:sz w:val="22"/>
                <w:szCs w:val="22"/>
              </w:rPr>
              <w:t>“</w:t>
            </w:r>
          </w:p>
        </w:tc>
        <w:tc>
          <w:tcPr>
            <w:tcW w:w="2616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pacing w:lineRule="auto" w:line="288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AKA: Seminarfach.  https://de.wikipedia.org/wiki/Seminarfach 170104|15.34</w:t>
            </w:r>
          </w:p>
        </w:tc>
        <w:tc>
          <w:tcPr>
            <w:tcW w:w="7385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napToGrid w:val="false"/>
              <w:spacing w:lineRule="auto" w:line="288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 xml:space="preserve">AKA (nach offensichtlich eigener Angabe): Seminarfach. https://de.wikipedia.org/wiki/Seminarfach </w:t>
              <w:br/>
              <w:t>170104|15.34, vgl. Anhang S. 19</w:t>
            </w:r>
          </w:p>
        </w:tc>
      </w:tr>
    </w:tbl>
    <w:p>
      <w:pPr>
        <w:pStyle w:val="Textkrper"/>
        <w:pageBreakBefore w:val="false"/>
        <w:spacing w:lineRule="auto" w:line="288"/>
        <w:rPr>
          <w:rFonts w:cs="Arial Narrow" w:ascii="Arial Narrow" w:hAnsi="Arial Narrow"/>
          <w:color w:val="333333"/>
          <w:sz w:val="22"/>
          <w:szCs w:val="22"/>
        </w:rPr>
      </w:pPr>
      <w:r>
        <w:rPr>
          <w:rFonts w:cs="Arial Narrow" w:ascii="Arial Narrow" w:hAnsi="Arial Narrow"/>
          <w:color w:val="333333"/>
          <w:sz w:val="22"/>
          <w:szCs w:val="22"/>
        </w:rPr>
      </w:r>
    </w:p>
    <w:tbl>
      <w:tblPr>
        <w:jc w:val="left"/>
        <w:tblInd w:w="113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113" w:type="dxa"/>
          <w:bottom w:w="0" w:type="dxa"/>
          <w:right w:w="0" w:type="dxa"/>
        </w:tblCellMar>
      </w:tblPr>
      <w:tblGrid>
        <w:gridCol w:w="282"/>
        <w:gridCol w:w="642"/>
        <w:gridCol w:w="1035"/>
        <w:gridCol w:w="454"/>
        <w:gridCol w:w="2806"/>
        <w:gridCol w:w="3621"/>
        <w:gridCol w:w="3299"/>
        <w:gridCol w:w="3337"/>
        <w:gridCol w:w="219"/>
      </w:tblGrid>
      <w:tr>
        <w:trPr>
          <w:cantSplit w:val="false"/>
        </w:trPr>
        <w:tc>
          <w:tcPr>
            <w:tcW w:w="2413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pageBreakBefore/>
              <w:snapToGrid w:val="false"/>
              <w:spacing w:lineRule="atLeast" w:line="292"/>
              <w:rPr>
                <w:rFonts w:cs="Arial Narrow" w:ascii="Arial Narrow" w:hAnsi="Arial Narrow"/>
                <w:color w:val="666666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666666"/>
                <w:sz w:val="22"/>
                <w:szCs w:val="22"/>
              </w:rPr>
              <w:t>Rechercheprotokoll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329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3556" w:type="dxa"/>
            <w:gridSpan w:val="2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112" w:type="dxa"/>
            </w:tcMar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  <w:sz w:val="20"/>
                <w:szCs w:val="20"/>
              </w:rPr>
            </w:pPr>
            <w:r>
              <w:rPr>
                <w:rFonts w:cs="Arial Narrow" w:ascii="Arial Narrow" w:hAnsi="Arial Narrow"/>
                <w:color w:val="333333"/>
                <w:sz w:val="20"/>
                <w:szCs w:val="20"/>
              </w:rPr>
              <w:t xml:space="preserve">Zur Quellenkritik vergleiche vorherige </w:t>
              <w:br/>
              <w:t>Übung zum Thema „Neue Schildkröten</w:t>
              <w:softHyphen/>
              <w:t xml:space="preserve">art </w:t>
              <w:br/>
              <w:t>auf Galapagos entdeckt …“</w:t>
            </w:r>
          </w:p>
        </w:tc>
      </w:tr>
      <w:tr>
        <w:trPr>
          <w:cantSplit w:val="false"/>
        </w:trPr>
        <w:tc>
          <w:tcPr>
            <w:tcW w:w="28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   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Medium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Suchweg, Suchwort oder</w:t>
            </w:r>
          </w:p>
          <w:p>
            <w:pPr>
              <w:pStyle w:val="Normal"/>
              <w:snapToGrid w:val="false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Suchwortverbindungen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Quellenangaben – </w:t>
            </w:r>
          </w:p>
          <w:p>
            <w:pPr>
              <w:pStyle w:val="Normal"/>
              <w:snapToGrid w:val="false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Autor: Titel. Ort Jahr und ggf. ISBN-Nr.</w:t>
            </w:r>
          </w:p>
        </w:tc>
        <w:tc>
          <w:tcPr>
            <w:tcW w:w="329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  <w:p>
            <w:pPr>
              <w:pStyle w:val="Normal"/>
              <w:snapToGrid w:val="false"/>
              <w:spacing w:lineRule="atLeast" w:line="32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Stichwort zum Ergebnis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zur Quellenkritik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82" w:type="dxa"/>
            <w:tcBorders>
              <w:top w:val="single" w:sz="2" w:space="0" w:color="000000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1.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Kat. UniBibo Erfurt</w:t>
            </w:r>
          </w:p>
        </w:tc>
        <w:tc>
          <w:tcPr>
            <w:tcW w:w="2806" w:type="dxa"/>
            <w:tcBorders>
              <w:top w:val="single" w:sz="2" w:space="0" w:color="000000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Villa Rotonda</w:t>
            </w:r>
          </w:p>
        </w:tc>
        <w:tc>
          <w:tcPr>
            <w:tcW w:w="3621" w:type="dxa"/>
            <w:tcBorders>
              <w:top w:val="single" w:sz="2" w:space="0" w:color="000000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9" w:type="dxa"/>
            <w:tcBorders>
              <w:top w:val="single" w:sz="2" w:space="0" w:color="000000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Narrow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 xml:space="preserve">… </w:t>
            </w: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nichts</w:t>
            </w:r>
          </w:p>
        </w:tc>
        <w:tc>
          <w:tcPr>
            <w:tcW w:w="3337" w:type="dxa"/>
            <w:tcBorders>
              <w:top w:val="single" w:sz="2" w:space="0" w:color="000000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82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2.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1035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lef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''</w:t>
            </w:r>
          </w:p>
        </w:tc>
        <w:tc>
          <w:tcPr>
            <w:tcW w:w="454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6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Palladio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236 Titel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1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82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3.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1035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lef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''</w:t>
            </w:r>
          </w:p>
        </w:tc>
        <w:tc>
          <w:tcPr>
            <w:tcW w:w="454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6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Villa in Venetien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3 Titel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1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82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4.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1035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lef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''</w:t>
            </w:r>
          </w:p>
        </w:tc>
        <w:tc>
          <w:tcPr>
            <w:tcW w:w="454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6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righ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ausgewählt: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Murano: Die Villen des Veneto. München 1986</w:t>
            </w:r>
          </w:p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LN 80480</w:t>
            </w:r>
          </w:p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ISBN 3-7774-4290-9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u. a. die Villa Rotonda</w:t>
              <w:br/>
              <w:t>mit sehr guten Fotos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  <w:t>Michelangelo Muraro (1913–1991, Dozent an der Universität von Padua</w:t>
            </w:r>
          </w:p>
        </w:tc>
        <w:tc>
          <w:tcPr>
            <w:tcW w:w="21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82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5.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1035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lef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454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6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right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21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337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1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82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6.</w:t>
            </w:r>
          </w:p>
        </w:tc>
        <w:tc>
          <w:tcPr>
            <w:tcW w:w="2131" w:type="dxa"/>
            <w:gridSpan w:val="3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6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21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337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1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82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7.</w:t>
            </w:r>
          </w:p>
        </w:tc>
        <w:tc>
          <w:tcPr>
            <w:tcW w:w="2131" w:type="dxa"/>
            <w:gridSpan w:val="3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6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21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337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1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82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2131" w:type="dxa"/>
            <w:gridSpan w:val="3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6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21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337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1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  <w:tr>
        <w:trPr>
          <w:cantSplit w:val="false"/>
        </w:trPr>
        <w:tc>
          <w:tcPr>
            <w:tcW w:w="282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2131" w:type="dxa"/>
            <w:gridSpan w:val="3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jc w:val="center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806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621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29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3337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22"/>
                <w:szCs w:val="22"/>
                <w:lang w:val="de-DE" w:eastAsia="zh-CN" w:bidi="hi-IN"/>
              </w:rPr>
            </w:r>
          </w:p>
        </w:tc>
        <w:tc>
          <w:tcPr>
            <w:tcW w:w="219" w:type="dxa"/>
            <w:tcBorders>
              <w:top w:val="nil"/>
              <w:left w:val="nil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</w:tcPr>
          <w:p>
            <w:pPr>
              <w:pStyle w:val="TabellenInhalt"/>
              <w:snapToGrid w:val="false"/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/>
                <w:caps w:val="false"/>
                <w:smallCaps w:val="false"/>
                <w:color w:val="00AE00"/>
                <w:sz w:val="52"/>
                <w:szCs w:val="52"/>
                <w:lang w:val="de-DE" w:eastAsia="zh-CN" w:bidi="hi-IN"/>
              </w:rPr>
            </w:r>
          </w:p>
        </w:tc>
      </w:tr>
    </w:tbl>
    <w:p>
      <w:pPr>
        <w:pStyle w:val="Normal"/>
        <w:spacing w:lineRule="atLeast" w:line="292"/>
        <w:rPr>
          <w:rFonts w:cs="Arial Narrow" w:ascii="Arial Narrow" w:hAnsi="Arial Narrow"/>
          <w:color w:val="333333"/>
          <w:sz w:val="22"/>
          <w:szCs w:val="22"/>
        </w:rPr>
      </w:pPr>
      <w:r>
        <w:rPr>
          <w:rFonts w:cs="Arial Narrow" w:ascii="Arial Narrow" w:hAnsi="Arial Narrow"/>
          <w:color w:val="333333"/>
          <w:sz w:val="22"/>
          <w:szCs w:val="22"/>
        </w:rPr>
      </w:r>
    </w:p>
    <w:sectPr>
      <w:type w:val="nextPage"/>
      <w:pgSz w:orient="landscape" w:w="16838" w:h="11906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kkurat-Light">
    <w:charset w:val="01"/>
    <w:family w:val="auto"/>
    <w:pitch w:val="default"/>
  </w:font>
  <w:font w:name="Arial Narrow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0"/>
  <w:displayBackgroundShape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Akkurat-Light" w:hAnsi="Akkurat-Light" w:eastAsia="Arial Unicode MS" w:cs="Lucida Sans"/>
        <w:sz w:val="22"/>
        <w:szCs w:val="24"/>
        <w:lang w:val="de-DE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</w:pPr>
    <w:rPr>
      <w:rFonts w:ascii="Akkurat-Light" w:hAnsi="Akkurat-Light" w:eastAsia="Arial Unicode MS" w:cs="Lucida Sans"/>
      <w:color w:val="auto"/>
      <w:sz w:val="22"/>
      <w:szCs w:val="24"/>
      <w:lang w:val="de-DE" w:eastAsia="zh-CN" w:bidi="hi-IN"/>
    </w:rPr>
  </w:style>
  <w:style w:type="character" w:styleId="Internetlink">
    <w:name w:val="Internetlink"/>
    <w:rPr>
      <w:color w:val="000080"/>
      <w:u w:val="single"/>
      <w:lang w:val="zxx" w:eastAsia="zxx" w:bidi="zxx"/>
    </w:rPr>
  </w:style>
  <w:style w:type="character" w:styleId="BesuchterInternetlink">
    <w:name w:val="Besuchter Internetlink"/>
    <w:rPr>
      <w:color w:val="800000"/>
      <w:u w:val="single"/>
      <w:lang w:val="zxx" w:eastAsia="zxx" w:bidi="zxx"/>
    </w:rPr>
  </w:style>
  <w:style w:type="character" w:styleId="Nummerierungszeichen">
    <w:name w:val="Nummerierungszeichen"/>
    <w:rPr/>
  </w:style>
  <w:style w:type="paragraph" w:styleId="Berschrift">
    <w:name w:val="Überschrift"/>
    <w:basedOn w:val="Normal"/>
    <w:next w:val="Textkrper"/>
    <w:pPr>
      <w:keepNext/>
      <w:spacing w:before="240" w:after="120"/>
    </w:pPr>
    <w:rPr>
      <w:rFonts w:ascii="Akkurat-Light" w:hAnsi="Akkurat-Light" w:eastAsia="Arial Unicode MS" w:cs="Lucida Sans"/>
      <w:sz w:val="22"/>
      <w:szCs w:val="28"/>
    </w:rPr>
  </w:style>
  <w:style w:type="paragraph" w:styleId="Textkrper">
    <w:name w:val="Textkörper"/>
    <w:basedOn w:val="Normal"/>
    <w:pPr>
      <w:spacing w:lineRule="auto" w:line="288" w:before="0" w:after="140"/>
    </w:pPr>
    <w:rPr/>
  </w:style>
  <w:style w:type="paragraph" w:styleId="Liste">
    <w:name w:val="Liste"/>
    <w:basedOn w:val="Textkrper"/>
    <w:pPr/>
    <w:rPr>
      <w:rFonts w:ascii="Akkurat-Light" w:hAnsi="Akkurat-Light" w:cs="Lucida Sans"/>
    </w:rPr>
  </w:style>
  <w:style w:type="paragraph" w:styleId="Beschriftung">
    <w:name w:val="Beschriftung"/>
    <w:basedOn w:val="Normal"/>
    <w:pPr>
      <w:suppressLineNumbers/>
      <w:spacing w:before="120" w:after="120"/>
    </w:pPr>
    <w:rPr>
      <w:rFonts w:ascii="Akkurat-Light" w:hAnsi="Akkurat-Light" w:cs="Lucida Sans"/>
      <w:i/>
      <w:iCs/>
      <w:sz w:val="22"/>
      <w:szCs w:val="24"/>
    </w:rPr>
  </w:style>
  <w:style w:type="paragraph" w:styleId="Verzeichnis">
    <w:name w:val="Verzeichnis"/>
    <w:basedOn w:val="Normal"/>
    <w:pPr>
      <w:suppressLineNumbers/>
    </w:pPr>
    <w:rPr>
      <w:rFonts w:ascii="Akkurat-Light" w:hAnsi="Akkurat-Light" w:cs="Lucida Sans"/>
    </w:rPr>
  </w:style>
  <w:style w:type="paragraph" w:styleId="TabellenInhalt">
    <w:name w:val="Tabellen Inhalt"/>
    <w:basedOn w:val="Normal"/>
    <w:pPr>
      <w:suppressLineNumbers/>
    </w:pPr>
    <w:rPr/>
  </w:style>
  <w:style w:type="paragraph" w:styleId="Tabellenberschrift">
    <w:name w:val="Tabellen Überschrift"/>
    <w:basedOn w:val="TabellenInhalt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988304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2015-09-26T17:22:42Z</dcterms:created>
  <dc:language>de-DE</dc:language>
  <cp:lastPrinted>2018-02-10T22:38:00Z</cp:lastPrinted>
  <cp:revision>0</cp:revision>
</cp:coreProperties>
</file>